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022</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（二）地块位置：惠州市惠城区水口民营工业园JD-131-07-03地块；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（三）地块编号：JD-131-07-03；</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（四）地块范围：平面界址点以宗地图为准，宗地竖向界限以</w:t>
      </w:r>
      <w:r>
        <w:rPr>
          <w:rFonts w:hint="eastAsia" w:ascii="仿宋_GB2312" w:hAnsi="仿宋_GB2312" w:eastAsia="仿宋_GB2312" w:cs="仿宋_GB2312"/>
          <w:sz w:val="32"/>
          <w:szCs w:val="32"/>
          <w:highlight w:val="none"/>
          <w:shd w:val="clear" w:color="auto" w:fill="auto"/>
          <w:lang w:val="en-US" w:eastAsia="zh-CN"/>
        </w:rPr>
        <w:t>《建设用地规划设计条件》（PB20220036）</w:t>
      </w:r>
      <w:r>
        <w:rPr>
          <w:rFonts w:hint="eastAsia" w:ascii="仿宋_GB2312" w:hAnsi="仿宋_GB2312" w:eastAsia="仿宋_GB2312" w:cs="仿宋_GB2312"/>
          <w:sz w:val="32"/>
          <w:szCs w:val="32"/>
          <w:highlight w:val="none"/>
          <w:shd w:val="clear" w:color="auto" w:fill="auto"/>
        </w:rPr>
        <w:t>规定为准；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宗地使用权面积为：20984.97平方米；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（六）计算指标用地面积为：23125.61平方米；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（七）计容积率建筑面积：37002-57815平方米（其中配套设施面积≥95平方米）；</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（八）容积率为：1.6</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2</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5；</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（九）建筑密度为：≥30%；</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（十）机动车停车位配建标准：办公及生活服务设施每100平方米计容积率建筑面积≥1个，厂房每100平方米计容积率建筑面积≥0.3个。停车场须按不低于总停车位的10%的比例配置充电设施；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（十一）土地用途为：一类工业用地；</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（十二）土地使用权出让年限为：50年；</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（十三）产业类型：其他制造业；</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（十四） 动工及竣工时间：该地块动工时间为地块交付之日起一年内，竣工时间为土地交付之日起三年内（因不可抗拒因素除外）；</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（十五）本地块交付时间为《国有土地使用权出让合同》签订之日。 </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35382</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highlight w:val="none"/>
          <w:shd w:val="clear" w:color="auto" w:fill="auto"/>
          <w:lang w:val="en-US" w:eastAsia="zh-CN"/>
        </w:rPr>
        <w:t>《建设用地规划设计条件》（PB20220036）</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仿宋_GB2312" w:eastAsia="仿宋_GB2312" w:cs="仿宋_GB2312"/>
          <w:color w:val="auto"/>
          <w:sz w:val="32"/>
          <w:szCs w:val="32"/>
          <w:lang w:eastAsia="zh-CN"/>
        </w:rPr>
        <w:t>所报总平面图的主要技术经济指标：</w:t>
      </w:r>
      <w:r>
        <w:rPr>
          <w:rFonts w:hint="eastAsia" w:ascii="仿宋_GB2312" w:hAnsi="宋体" w:eastAsia="仿宋_GB2312" w:cs="宋体"/>
          <w:kern w:val="0"/>
          <w:sz w:val="32"/>
          <w:szCs w:val="32"/>
          <w:lang w:val="en-US" w:eastAsia="zh-CN" w:bidi="ar-SA"/>
        </w:rPr>
        <w:t>规划布局2栋厂房、1栋宿舍楼及1间门卫室，地上最高10层，建筑高度最高48.7米，主要技术经济指标：计算指标用地面积23125.61平方米，计容积率建筑面积53421平方米（其中生活服务设施建筑面积占比15.78%），容积率2.31，建筑密度31.69％（其中生活服务设施基底面积占用地面积比4.7%），绿地率15.62％，机动车停车位223个（全部地面）。所报方案符合《建设用地规划设计条件》（PB20220036）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投资强度不低于15300元/平方米，土地产出率（营业收入）不低于46000元/平方米/年，税收产出不低于1000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竞得人在签订《成交确认书》前，须与</w:t>
      </w:r>
      <w:r>
        <w:rPr>
          <w:rFonts w:hint="eastAsia" w:ascii="仿宋_GB2312" w:hAnsi="宋体" w:eastAsia="仿宋_GB2312" w:cs="宋体"/>
          <w:kern w:val="0"/>
          <w:sz w:val="32"/>
          <w:szCs w:val="32"/>
          <w:lang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宋体" w:eastAsia="仿宋_GB2312" w:cs="宋体"/>
          <w:kern w:val="0"/>
          <w:sz w:val="32"/>
          <w:szCs w:val="32"/>
          <w:lang w:eastAsia="zh-CN"/>
        </w:rPr>
        <w:t>惠州市惠城区高新科技产业园管理委员会</w:t>
      </w:r>
      <w:r>
        <w:rPr>
          <w:rFonts w:hint="eastAsia" w:ascii="仿宋_GB2312" w:hAnsi="仿宋_GB2312" w:eastAsia="仿宋_GB2312" w:cs="仿宋_GB2312"/>
          <w:color w:val="auto"/>
          <w:sz w:val="32"/>
          <w:szCs w:val="32"/>
        </w:rPr>
        <w:t>对项目用地实施批后监管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w:t>
      </w:r>
      <w:bookmarkStart w:id="8" w:name="_GoBack"/>
      <w:bookmarkEnd w:id="8"/>
      <w:r>
        <w:rPr>
          <w:rFonts w:hint="eastAsia" w:ascii="仿宋_GB2312" w:hAnsi="仿宋_GB2312" w:eastAsia="仿宋_GB2312" w:cs="仿宋_GB2312"/>
          <w:color w:val="auto"/>
          <w:sz w:val="32"/>
          <w:szCs w:val="32"/>
          <w:lang w:val="en-US" w:eastAsia="zh-CN"/>
        </w:rPr>
        <w:t>详见该宗地网上挂牌文件，网址：https://www.hzgtjy.com/)</w:t>
      </w:r>
      <w:r>
        <w:rPr>
          <w:rFonts w:hint="eastAsia" w:ascii="仿宋_GB2312" w:hAnsi="仿宋_GB2312" w:eastAsia="仿宋_GB2312" w:cs="仿宋_GB2312"/>
          <w:color w:val="auto"/>
          <w:sz w:val="32"/>
          <w:szCs w:val="32"/>
        </w:rPr>
        <w:t>。</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七）其他条件：</w:t>
      </w:r>
      <w:r>
        <w:rPr>
          <w:rFonts w:hint="eastAsia" w:ascii="Times New Roman" w:hAnsi="Times New Roman" w:eastAsia="仿宋_GB2312" w:cs="仿宋_GB2312"/>
          <w:kern w:val="2"/>
          <w:sz w:val="32"/>
          <w:szCs w:val="32"/>
          <w:lang w:val="en-US" w:eastAsia="zh-CN" w:bidi="ar-SA"/>
        </w:rPr>
        <w:t>按照控规要求，取得上述宗地权利人</w:t>
      </w:r>
      <w:r>
        <w:rPr>
          <w:rFonts w:hint="default" w:ascii="Times New Roman" w:hAnsi="Times New Roman" w:eastAsia="仿宋_GB2312" w:cs="仿宋_GB2312"/>
          <w:kern w:val="2"/>
          <w:sz w:val="32"/>
          <w:szCs w:val="32"/>
          <w:lang w:val="en-US" w:eastAsia="zh-CN" w:bidi="ar-SA"/>
        </w:rPr>
        <w:t>需配建供电开关</w:t>
      </w:r>
      <w:r>
        <w:rPr>
          <w:rFonts w:hint="eastAsia" w:ascii="Times New Roman" w:hAnsi="Times New Roman" w:eastAsia="仿宋_GB2312" w:cs="仿宋_GB2312"/>
          <w:kern w:val="2"/>
          <w:sz w:val="32"/>
          <w:szCs w:val="32"/>
          <w:lang w:val="en-US" w:eastAsia="zh-CN" w:bidi="ar-SA"/>
        </w:rPr>
        <w:t>站</w:t>
      </w:r>
      <w:r>
        <w:rPr>
          <w:rFonts w:hint="default" w:ascii="Times New Roman" w:hAnsi="Times New Roman" w:eastAsia="仿宋_GB2312" w:cs="仿宋_GB2312"/>
          <w:kern w:val="2"/>
          <w:sz w:val="32"/>
          <w:szCs w:val="32"/>
          <w:lang w:val="en-US" w:eastAsia="zh-CN" w:bidi="ar-SA"/>
        </w:rPr>
        <w:t>配套用房，建成后无偿交给惠城区政府相关部门管理使用。</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lang w:val="en-US" w:eastAsia="zh-CN"/>
        </w:rPr>
        <w:t>一</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ascii="仿宋_GB2312" w:hAnsi="仿宋_GB2312" w:eastAsia="仿宋_GB2312" w:cs="仿宋_GB2312"/>
          <w:kern w:val="0"/>
          <w:sz w:val="32"/>
          <w:szCs w:val="32"/>
          <w:highlight w:val="none"/>
          <w:shd w:val="clear" w:color="auto" w:fill="auto"/>
          <w:lang w:val="en-US" w:eastAsia="zh-CN"/>
        </w:rPr>
        <w:t>708</w:t>
      </w:r>
      <w:r>
        <w:rPr>
          <w:rFonts w:hint="eastAsia" w:ascii="仿宋_GB2312" w:hAnsi="仿宋_GB2312" w:eastAsia="仿宋_GB2312" w:cs="仿宋_GB2312"/>
          <w:kern w:val="0"/>
          <w:sz w:val="32"/>
          <w:szCs w:val="32"/>
          <w:highlight w:val="none"/>
          <w:shd w:val="clear" w:color="auto" w:fill="auto"/>
        </w:rPr>
        <w:t>万元。</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二</w:t>
      </w:r>
      <w:r>
        <w:rPr>
          <w:rFonts w:hint="eastAsia" w:ascii="仿宋_GB2312" w:hAnsi="仿宋_GB2312" w:eastAsia="仿宋_GB2312" w:cs="仿宋_GB2312"/>
          <w:kern w:val="0"/>
          <w:sz w:val="32"/>
          <w:szCs w:val="32"/>
          <w:highlight w:val="none"/>
          <w:shd w:val="clear" w:color="auto" w:fill="auto"/>
        </w:rPr>
        <w:t>）预先办理数字证书。本次国有建设用地使用权网上挂牌出让只能在互联网上，通过惠州市公共资源交易</w:t>
      </w:r>
      <w:r>
        <w:rPr>
          <w:rFonts w:hint="eastAsia" w:ascii="仿宋_GB2312" w:hAnsi="仿宋_GB2312" w:eastAsia="仿宋_GB2312" w:cs="仿宋_GB2312"/>
          <w:sz w:val="32"/>
          <w:szCs w:val="32"/>
          <w:highlight w:val="none"/>
          <w:shd w:val="clear" w:color="auto" w:fill="auto"/>
        </w:rPr>
        <w:t>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lang w:val="en-US" w:eastAsia="zh-CN" w:bidi="ar-SA"/>
        </w:rPr>
        <w:t>存在下列违法违规违约行为之一的企业及其控股股东，不得参与竞买上述地块</w:t>
      </w:r>
      <w:r>
        <w:rPr>
          <w:rFonts w:hint="eastAsia" w:ascii="仿宋_GB2312" w:hAnsi="仿宋_GB2312" w:eastAsia="仿宋_GB2312" w:cs="仿宋_GB2312"/>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auto"/>
          <w:kern w:val="0"/>
          <w:sz w:val="32"/>
          <w:szCs w:val="32"/>
          <w:highlight w:val="none"/>
          <w:shd w:val="clear" w:color="auto" w:fill="auto"/>
          <w:lang w:val="en-US" w:eastAsia="zh-CN" w:bidi="ar-SA"/>
        </w:rPr>
      </w:pPr>
      <w:r>
        <w:rPr>
          <w:rFonts w:hint="eastAsia" w:ascii="仿宋" w:hAnsi="仿宋" w:eastAsia="仿宋"/>
          <w:sz w:val="32"/>
          <w:szCs w:val="32"/>
          <w:lang w:val="en-US" w:eastAsia="zh-CN"/>
        </w:rPr>
        <w:t>5.至报名日仍</w:t>
      </w:r>
      <w:r>
        <w:rPr>
          <w:rFonts w:hint="eastAsia" w:ascii="仿宋" w:hAnsi="仿宋" w:eastAsia="仿宋"/>
          <w:sz w:val="32"/>
          <w:szCs w:val="32"/>
        </w:rPr>
        <w:t>拖欠政府地价款的</w:t>
      </w:r>
      <w:r>
        <w:rPr>
          <w:rFonts w:hint="eastAsia" w:ascii="仿宋" w:hAnsi="仿宋" w:eastAsia="仿宋"/>
          <w:sz w:val="32"/>
          <w:szCs w:val="32"/>
          <w:lang w:eastAsia="zh-CN"/>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贰仟叁佰陆拾万元整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2360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sz w:val="32"/>
          <w:szCs w:val="32"/>
          <w:highlight w:val="none"/>
          <w:shd w:val="clear" w:color="auto" w:fill="auto"/>
          <w:lang w:val="en-US" w:eastAsia="zh-CN"/>
        </w:rPr>
        <w:t>2022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8月18</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20036</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8、竞得人</w:t>
      </w:r>
      <w:r>
        <w:rPr>
          <w:rFonts w:hint="eastAsia" w:ascii="仿宋_GB2312" w:hAnsi="仿宋_GB2312" w:eastAsia="仿宋_GB2312" w:cs="仿宋_GB2312"/>
          <w:color w:val="auto"/>
          <w:sz w:val="32"/>
          <w:szCs w:val="32"/>
        </w:rPr>
        <w:t>与</w:t>
      </w:r>
      <w:r>
        <w:rPr>
          <w:rFonts w:hint="eastAsia" w:ascii="仿宋_GB2312" w:hAnsi="宋体" w:eastAsia="仿宋_GB2312" w:cs="宋体"/>
          <w:kern w:val="0"/>
          <w:sz w:val="32"/>
          <w:szCs w:val="32"/>
          <w:lang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sz w:val="32"/>
          <w:szCs w:val="32"/>
          <w:highlight w:val="none"/>
          <w:u w:val="single"/>
          <w:shd w:val="clear" w:color="auto" w:fill="auto"/>
          <w:lang w:val="en-US" w:eastAsia="zh-CN"/>
        </w:rPr>
        <w:t>柒佰零捌万元整万元整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708</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中信银行股份有限公司惠州分行。</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w:t>
      </w:r>
      <w:r>
        <w:rPr>
          <w:rFonts w:hint="eastAsia" w:ascii="仿宋_GB2312" w:hAnsi="仿宋_GB2312" w:eastAsia="仿宋_GB2312" w:cs="仿宋_GB2312"/>
          <w:sz w:val="32"/>
          <w:szCs w:val="32"/>
        </w:rPr>
        <w:t>竞得人应当在网上挂牌交易结果公布之日起5个工作日内持公司公章及下列有关纸质材料到本中心，由委托方进行资格审查，符合竞买资格的，竞得人应当在网上挂牌交易结果公布之日起5个工作日内签订《成交确认书》</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b w:val="0"/>
          <w:bCs w:val="0"/>
          <w:color w:val="000000"/>
          <w:kern w:val="0"/>
          <w:sz w:val="32"/>
          <w:szCs w:val="32"/>
          <w:lang w:val="en-US" w:eastAsia="zh-CN"/>
        </w:rPr>
        <w:t>竞买人</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w:t>
      </w:r>
      <w:r>
        <w:rPr>
          <w:rFonts w:hint="eastAsia" w:ascii="仿宋_GB2312" w:hAnsi="宋体" w:eastAsia="仿宋_GB2312" w:cs="宋体"/>
          <w:color w:val="auto"/>
          <w:kern w:val="0"/>
          <w:sz w:val="32"/>
          <w:szCs w:val="32"/>
          <w:highlight w:val="none"/>
          <w:shd w:val="clear" w:color="auto" w:fill="auto"/>
        </w:rPr>
        <w:t>。</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（10）竞买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）单独申请竞买的，竞买申请人为非本市注册登记的企业，在竞得土地后，必须于2个月内在本市工商行政管理部门注册成立项目开发公司，并以该公司名义办理土地出让与登记发证手续。</w:t>
      </w:r>
      <w:r>
        <w:rPr>
          <w:rFonts w:hint="eastAsia" w:ascii="仿宋_GB2312" w:hAnsi="仿宋_GB2312" w:eastAsia="仿宋_GB2312" w:cs="仿宋_GB2312"/>
          <w:sz w:val="32"/>
          <w:szCs w:val="32"/>
          <w:highlight w:val="none"/>
        </w:rPr>
        <w:t>新成立公司必须是竞得人的全资子公司</w:t>
      </w:r>
      <w:r>
        <w:rPr>
          <w:rFonts w:hint="eastAsia" w:ascii="仿宋_GB2312" w:hAnsi="仿宋_GB2312" w:eastAsia="仿宋_GB2312" w:cs="仿宋_GB2312"/>
          <w:sz w:val="32"/>
          <w:szCs w:val="32"/>
          <w:highlight w:val="none"/>
          <w:lang w:eastAsia="zh-CN"/>
        </w:rPr>
        <w:t>，</w:t>
      </w:r>
      <w:r>
        <w:rPr>
          <w:rFonts w:hint="eastAsia" w:ascii="仿宋_GB2312" w:hAnsi="宋体" w:eastAsia="仿宋_GB2312" w:cs="宋体"/>
          <w:color w:val="auto"/>
          <w:kern w:val="0"/>
          <w:sz w:val="32"/>
          <w:szCs w:val="32"/>
          <w:highlight w:val="none"/>
        </w:rPr>
        <w:t>即新公司的股东必须100%是竞买申请企业作为法人的股东</w:t>
      </w:r>
      <w:r>
        <w:rPr>
          <w:rFonts w:hint="default" w:ascii="Times New Roman" w:hAnsi="Times New Roman"/>
          <w:highlight w:val="none"/>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shd w:val="clear" w:color="auto" w:fill="auto"/>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2022年7月28日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99D33"/>
    <w:multiLevelType w:val="singleLevel"/>
    <w:tmpl w:val="A9599D3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B51C7D"/>
    <w:rsid w:val="02924845"/>
    <w:rsid w:val="031A11BD"/>
    <w:rsid w:val="03913E5D"/>
    <w:rsid w:val="042C6BAB"/>
    <w:rsid w:val="04BB2A35"/>
    <w:rsid w:val="04F7599A"/>
    <w:rsid w:val="05280DC9"/>
    <w:rsid w:val="054F511E"/>
    <w:rsid w:val="05616BEE"/>
    <w:rsid w:val="05AA6043"/>
    <w:rsid w:val="062E1CCB"/>
    <w:rsid w:val="065D58C0"/>
    <w:rsid w:val="06E22DF8"/>
    <w:rsid w:val="071F73B3"/>
    <w:rsid w:val="077D5D24"/>
    <w:rsid w:val="07F629A0"/>
    <w:rsid w:val="08355FB8"/>
    <w:rsid w:val="091E26EA"/>
    <w:rsid w:val="09317644"/>
    <w:rsid w:val="097229CD"/>
    <w:rsid w:val="097F0039"/>
    <w:rsid w:val="09DB3F4B"/>
    <w:rsid w:val="0A771CCA"/>
    <w:rsid w:val="0A812477"/>
    <w:rsid w:val="0B1406EF"/>
    <w:rsid w:val="0C40433F"/>
    <w:rsid w:val="0C8642BF"/>
    <w:rsid w:val="0D261A5B"/>
    <w:rsid w:val="0DCB3B54"/>
    <w:rsid w:val="0F0E558C"/>
    <w:rsid w:val="0FB217AF"/>
    <w:rsid w:val="0FB2799E"/>
    <w:rsid w:val="10152918"/>
    <w:rsid w:val="105A2768"/>
    <w:rsid w:val="105C6B40"/>
    <w:rsid w:val="10A1573B"/>
    <w:rsid w:val="10B43BC1"/>
    <w:rsid w:val="10CB5B31"/>
    <w:rsid w:val="111E117E"/>
    <w:rsid w:val="11A17A14"/>
    <w:rsid w:val="12295A9F"/>
    <w:rsid w:val="141106B3"/>
    <w:rsid w:val="14924D3E"/>
    <w:rsid w:val="14D40026"/>
    <w:rsid w:val="15BB632B"/>
    <w:rsid w:val="15C4392F"/>
    <w:rsid w:val="15D340EA"/>
    <w:rsid w:val="16615977"/>
    <w:rsid w:val="168C318D"/>
    <w:rsid w:val="16AE6DA7"/>
    <w:rsid w:val="170F4C1C"/>
    <w:rsid w:val="1729355A"/>
    <w:rsid w:val="17DA4A92"/>
    <w:rsid w:val="18220C10"/>
    <w:rsid w:val="19546A32"/>
    <w:rsid w:val="1960257D"/>
    <w:rsid w:val="19D941D6"/>
    <w:rsid w:val="1A536A6B"/>
    <w:rsid w:val="1B002CF4"/>
    <w:rsid w:val="1C431BA6"/>
    <w:rsid w:val="1CB6407B"/>
    <w:rsid w:val="1D717DCD"/>
    <w:rsid w:val="1DE56E00"/>
    <w:rsid w:val="1E46102C"/>
    <w:rsid w:val="1E4A3E3B"/>
    <w:rsid w:val="1E9B31A0"/>
    <w:rsid w:val="1ED73189"/>
    <w:rsid w:val="1F1E4268"/>
    <w:rsid w:val="1F2C083B"/>
    <w:rsid w:val="20855E22"/>
    <w:rsid w:val="21587C67"/>
    <w:rsid w:val="22463965"/>
    <w:rsid w:val="2249566B"/>
    <w:rsid w:val="22661D8C"/>
    <w:rsid w:val="22DC01FC"/>
    <w:rsid w:val="23141DA3"/>
    <w:rsid w:val="247C6354"/>
    <w:rsid w:val="259D34B7"/>
    <w:rsid w:val="25D63F7C"/>
    <w:rsid w:val="25E54340"/>
    <w:rsid w:val="26391FD0"/>
    <w:rsid w:val="26741665"/>
    <w:rsid w:val="272C05B0"/>
    <w:rsid w:val="281D1027"/>
    <w:rsid w:val="282C1E6E"/>
    <w:rsid w:val="28D14CFE"/>
    <w:rsid w:val="28D2352A"/>
    <w:rsid w:val="28ED736B"/>
    <w:rsid w:val="29220F8B"/>
    <w:rsid w:val="29DE5841"/>
    <w:rsid w:val="2A4D2521"/>
    <w:rsid w:val="2A636D11"/>
    <w:rsid w:val="2AA45603"/>
    <w:rsid w:val="2B1A2077"/>
    <w:rsid w:val="2CA246FC"/>
    <w:rsid w:val="2CAE2771"/>
    <w:rsid w:val="2CD752D7"/>
    <w:rsid w:val="2D027EED"/>
    <w:rsid w:val="2D2632FD"/>
    <w:rsid w:val="2DEB4267"/>
    <w:rsid w:val="2F0337D6"/>
    <w:rsid w:val="2F944F64"/>
    <w:rsid w:val="2FA2409E"/>
    <w:rsid w:val="30AC5587"/>
    <w:rsid w:val="30DB33EE"/>
    <w:rsid w:val="313D23E2"/>
    <w:rsid w:val="31880862"/>
    <w:rsid w:val="31B60A9D"/>
    <w:rsid w:val="31EA6469"/>
    <w:rsid w:val="324E22EE"/>
    <w:rsid w:val="33A33367"/>
    <w:rsid w:val="33CE0AAA"/>
    <w:rsid w:val="34836833"/>
    <w:rsid w:val="34B40523"/>
    <w:rsid w:val="34C41D04"/>
    <w:rsid w:val="34CD617E"/>
    <w:rsid w:val="3588604B"/>
    <w:rsid w:val="360B04FE"/>
    <w:rsid w:val="361C1DB9"/>
    <w:rsid w:val="378C6660"/>
    <w:rsid w:val="37FB7A76"/>
    <w:rsid w:val="38703C12"/>
    <w:rsid w:val="38A76E9E"/>
    <w:rsid w:val="38DE5E51"/>
    <w:rsid w:val="390E539D"/>
    <w:rsid w:val="3B06746C"/>
    <w:rsid w:val="3C4A4143"/>
    <w:rsid w:val="3C5E598F"/>
    <w:rsid w:val="3C8F0E4F"/>
    <w:rsid w:val="3CAD2EC5"/>
    <w:rsid w:val="3CB81CC8"/>
    <w:rsid w:val="3D322E34"/>
    <w:rsid w:val="3D34683B"/>
    <w:rsid w:val="3D5E1016"/>
    <w:rsid w:val="3F3F4FAD"/>
    <w:rsid w:val="3FB91BA4"/>
    <w:rsid w:val="3FC22752"/>
    <w:rsid w:val="418879B1"/>
    <w:rsid w:val="41CE7F2A"/>
    <w:rsid w:val="41EE5FAA"/>
    <w:rsid w:val="420B00A8"/>
    <w:rsid w:val="421630A4"/>
    <w:rsid w:val="43010898"/>
    <w:rsid w:val="432B1A76"/>
    <w:rsid w:val="43E840B4"/>
    <w:rsid w:val="43EC1655"/>
    <w:rsid w:val="440C4340"/>
    <w:rsid w:val="4442558E"/>
    <w:rsid w:val="44811DC9"/>
    <w:rsid w:val="44D36207"/>
    <w:rsid w:val="450E3C66"/>
    <w:rsid w:val="454309A1"/>
    <w:rsid w:val="458C06A8"/>
    <w:rsid w:val="45C47203"/>
    <w:rsid w:val="45E829E7"/>
    <w:rsid w:val="465E4F22"/>
    <w:rsid w:val="467262F8"/>
    <w:rsid w:val="46DA05EA"/>
    <w:rsid w:val="46F579AB"/>
    <w:rsid w:val="48566E44"/>
    <w:rsid w:val="48593E6F"/>
    <w:rsid w:val="48B510E7"/>
    <w:rsid w:val="49076A91"/>
    <w:rsid w:val="493B6F1B"/>
    <w:rsid w:val="49853205"/>
    <w:rsid w:val="49EA4586"/>
    <w:rsid w:val="4AFF2E69"/>
    <w:rsid w:val="4B8E7FA9"/>
    <w:rsid w:val="4BA610FC"/>
    <w:rsid w:val="4BC3115D"/>
    <w:rsid w:val="4BEE1CA4"/>
    <w:rsid w:val="4CF51C39"/>
    <w:rsid w:val="4D1F6077"/>
    <w:rsid w:val="4DC8070E"/>
    <w:rsid w:val="4E0017E7"/>
    <w:rsid w:val="4ED2701A"/>
    <w:rsid w:val="4F1E4BBE"/>
    <w:rsid w:val="4F3537ED"/>
    <w:rsid w:val="4FFE1B2F"/>
    <w:rsid w:val="503B18AF"/>
    <w:rsid w:val="51467837"/>
    <w:rsid w:val="51660328"/>
    <w:rsid w:val="52132F5D"/>
    <w:rsid w:val="528F1625"/>
    <w:rsid w:val="52A84240"/>
    <w:rsid w:val="52AA5DFE"/>
    <w:rsid w:val="533F6C66"/>
    <w:rsid w:val="544F17E9"/>
    <w:rsid w:val="546D5003"/>
    <w:rsid w:val="54943EAC"/>
    <w:rsid w:val="54C11818"/>
    <w:rsid w:val="55943151"/>
    <w:rsid w:val="57D00A5F"/>
    <w:rsid w:val="58AC5C79"/>
    <w:rsid w:val="58B217DC"/>
    <w:rsid w:val="58FE24B1"/>
    <w:rsid w:val="59693A9B"/>
    <w:rsid w:val="5A154FE3"/>
    <w:rsid w:val="5AEE4F52"/>
    <w:rsid w:val="5B0C2732"/>
    <w:rsid w:val="5B1D2CCC"/>
    <w:rsid w:val="5B52670E"/>
    <w:rsid w:val="5B625B54"/>
    <w:rsid w:val="5B640509"/>
    <w:rsid w:val="5B8E3054"/>
    <w:rsid w:val="5BA7715F"/>
    <w:rsid w:val="5C2A6903"/>
    <w:rsid w:val="5C943765"/>
    <w:rsid w:val="5D006096"/>
    <w:rsid w:val="5D731ABE"/>
    <w:rsid w:val="5DB15592"/>
    <w:rsid w:val="5DF81F1B"/>
    <w:rsid w:val="5DFB50B1"/>
    <w:rsid w:val="5E2E0948"/>
    <w:rsid w:val="5EE41DB0"/>
    <w:rsid w:val="5F560C0B"/>
    <w:rsid w:val="600D408B"/>
    <w:rsid w:val="610A5EBF"/>
    <w:rsid w:val="61245A3C"/>
    <w:rsid w:val="6178185B"/>
    <w:rsid w:val="617F00E3"/>
    <w:rsid w:val="61C04C47"/>
    <w:rsid w:val="61C170AA"/>
    <w:rsid w:val="61D82B90"/>
    <w:rsid w:val="626D5569"/>
    <w:rsid w:val="62D03E81"/>
    <w:rsid w:val="62D41879"/>
    <w:rsid w:val="6398078D"/>
    <w:rsid w:val="641A28B3"/>
    <w:rsid w:val="648A18F5"/>
    <w:rsid w:val="64C30585"/>
    <w:rsid w:val="651C53A6"/>
    <w:rsid w:val="656B5E9D"/>
    <w:rsid w:val="659D6FA9"/>
    <w:rsid w:val="65F2007E"/>
    <w:rsid w:val="66C13377"/>
    <w:rsid w:val="67927D39"/>
    <w:rsid w:val="67EE0FCE"/>
    <w:rsid w:val="68085778"/>
    <w:rsid w:val="688B43B5"/>
    <w:rsid w:val="68E63F59"/>
    <w:rsid w:val="691B7B5A"/>
    <w:rsid w:val="69B07B1E"/>
    <w:rsid w:val="69E22ED5"/>
    <w:rsid w:val="6A15326A"/>
    <w:rsid w:val="6AA821A5"/>
    <w:rsid w:val="6B8A6BF3"/>
    <w:rsid w:val="6BFA1460"/>
    <w:rsid w:val="6C013F77"/>
    <w:rsid w:val="6C181FB4"/>
    <w:rsid w:val="6C197CDD"/>
    <w:rsid w:val="6C5A6DDE"/>
    <w:rsid w:val="6C611252"/>
    <w:rsid w:val="6CCC1A8E"/>
    <w:rsid w:val="6E1E50A4"/>
    <w:rsid w:val="6FCE2720"/>
    <w:rsid w:val="7020680D"/>
    <w:rsid w:val="705B684C"/>
    <w:rsid w:val="713D7851"/>
    <w:rsid w:val="714F5518"/>
    <w:rsid w:val="71AB46C8"/>
    <w:rsid w:val="72CC1A29"/>
    <w:rsid w:val="74CC0B4E"/>
    <w:rsid w:val="74D35F13"/>
    <w:rsid w:val="755C76C8"/>
    <w:rsid w:val="75E43E25"/>
    <w:rsid w:val="76382CBE"/>
    <w:rsid w:val="76B47A3E"/>
    <w:rsid w:val="77A91566"/>
    <w:rsid w:val="77E167B8"/>
    <w:rsid w:val="78591F3E"/>
    <w:rsid w:val="78CA1EAE"/>
    <w:rsid w:val="792409A3"/>
    <w:rsid w:val="7A881483"/>
    <w:rsid w:val="7A962112"/>
    <w:rsid w:val="7AE44F5D"/>
    <w:rsid w:val="7B3065F7"/>
    <w:rsid w:val="7B4F2E9A"/>
    <w:rsid w:val="7B8363CD"/>
    <w:rsid w:val="7D5207DE"/>
    <w:rsid w:val="7E857972"/>
    <w:rsid w:val="7F111F6F"/>
    <w:rsid w:val="7F9A6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color w:val="555555"/>
      <w:sz w:val="21"/>
      <w:szCs w:val="21"/>
      <w:bdr w:val="single" w:color="CCCCCC" w:sz="6" w:space="0"/>
      <w:shd w:val="clear" w:fill="EEEEEE"/>
    </w:rPr>
  </w:style>
  <w:style w:type="character" w:styleId="13">
    <w:name w:val="Hyperlink"/>
    <w:basedOn w:val="9"/>
    <w:qFormat/>
    <w:uiPriority w:val="0"/>
    <w:rPr>
      <w:color w:val="337AB7"/>
      <w:u w:val="none"/>
    </w:rPr>
  </w:style>
  <w:style w:type="character" w:styleId="14">
    <w:name w:val="HTML Code"/>
    <w:basedOn w:val="9"/>
    <w:qFormat/>
    <w:uiPriority w:val="0"/>
    <w:rPr>
      <w:rFonts w:hint="default" w:ascii="Consolas" w:hAnsi="Consolas" w:eastAsia="Consolas" w:cs="Consolas"/>
      <w:color w:val="C7254E"/>
      <w:sz w:val="21"/>
      <w:szCs w:val="21"/>
      <w:shd w:val="clear" w:fill="F9F2F4"/>
    </w:rPr>
  </w:style>
  <w:style w:type="character" w:styleId="15">
    <w:name w:val="HTML Keyboard"/>
    <w:basedOn w:val="9"/>
    <w:qFormat/>
    <w:uiPriority w:val="0"/>
    <w:rPr>
      <w:rFonts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页眉 Char"/>
    <w:basedOn w:val="9"/>
    <w:link w:val="6"/>
    <w:qFormat/>
    <w:uiPriority w:val="0"/>
    <w:rPr>
      <w:rFonts w:ascii="Calibri" w:hAnsi="Calibri"/>
      <w:kern w:val="2"/>
      <w:sz w:val="18"/>
      <w:szCs w:val="18"/>
    </w:rPr>
  </w:style>
  <w:style w:type="character" w:customStyle="1" w:styleId="18">
    <w:name w:val="页脚 Char"/>
    <w:basedOn w:val="9"/>
    <w:link w:val="5"/>
    <w:qFormat/>
    <w:uiPriority w:val="99"/>
    <w:rPr>
      <w:rFonts w:ascii="Calibri" w:hAnsi="Calibri"/>
      <w:kern w:val="2"/>
      <w:sz w:val="18"/>
      <w:szCs w:val="22"/>
    </w:rPr>
  </w:style>
  <w:style w:type="character" w:customStyle="1" w:styleId="19">
    <w:name w:val="正文文本缩进 Char"/>
    <w:basedOn w:val="9"/>
    <w:link w:val="3"/>
    <w:qFormat/>
    <w:uiPriority w:val="0"/>
    <w:rPr>
      <w:rFonts w:ascii="仿宋_GB2312" w:hAnsi="华文中宋" w:eastAsia="仿宋_GB2312"/>
      <w:sz w:val="32"/>
      <w:szCs w:val="24"/>
    </w:rPr>
  </w:style>
  <w:style w:type="character" w:customStyle="1" w:styleId="20">
    <w:name w:val="actspan"/>
    <w:basedOn w:val="9"/>
    <w:qFormat/>
    <w:uiPriority w:val="0"/>
  </w:style>
  <w:style w:type="character" w:customStyle="1" w:styleId="21">
    <w:name w:val="layui-layer-tabnow"/>
    <w:basedOn w:val="9"/>
    <w:qFormat/>
    <w:uiPriority w:val="0"/>
    <w:rPr>
      <w:bdr w:val="single" w:color="CCCCCC" w:sz="6" w:space="0"/>
      <w:shd w:val="clear" w:fill="FFFFFF"/>
    </w:rPr>
  </w:style>
  <w:style w:type="character" w:customStyle="1" w:styleId="22">
    <w:name w:val="first-child"/>
    <w:basedOn w:val="9"/>
    <w:qFormat/>
    <w:uiPriority w:val="0"/>
  </w:style>
  <w:style w:type="character" w:customStyle="1" w:styleId="23">
    <w:name w:val="actspan2"/>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0</TotalTime>
  <ScaleCrop>false</ScaleCrop>
  <LinksUpToDate>false</LinksUpToDate>
  <CharactersWithSpaces>8733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叶舒</cp:lastModifiedBy>
  <cp:lastPrinted>2022-05-10T02:51:00Z</cp:lastPrinted>
  <dcterms:modified xsi:type="dcterms:W3CDTF">2022-07-28T09:14:59Z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844A8BE9FF7B4045B1B05C09266726FC</vt:lpwstr>
  </property>
</Properties>
</file>